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CE9A5" w14:textId="77777777" w:rsidR="00C84F29" w:rsidRDefault="00477200" w:rsidP="00DA385E">
      <w:pPr>
        <w:pStyle w:val="Rubrik1"/>
        <w:ind w:left="-142"/>
      </w:pPr>
      <w:r>
        <w:t>Avtal om fusion mellan samfällighetsföreningar</w:t>
      </w:r>
    </w:p>
    <w:p w14:paraId="4BFC235A" w14:textId="77777777" w:rsidR="00DA385E" w:rsidRPr="00DA385E" w:rsidRDefault="00DA385E" w:rsidP="00DA385E"/>
    <w:tbl>
      <w:tblPr>
        <w:tblStyle w:val="Tabellrutnt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477200" w14:paraId="79668671" w14:textId="77777777" w:rsidTr="00DA385E">
        <w:tc>
          <w:tcPr>
            <w:tcW w:w="2694" w:type="dxa"/>
          </w:tcPr>
          <w:p w14:paraId="22E50751" w14:textId="77777777" w:rsidR="00477200" w:rsidRDefault="00477200" w:rsidP="00477200">
            <w:pPr>
              <w:ind w:left="0"/>
            </w:pPr>
            <w:r>
              <w:t>Övertagande förening</w:t>
            </w:r>
          </w:p>
        </w:tc>
        <w:tc>
          <w:tcPr>
            <w:tcW w:w="6946" w:type="dxa"/>
          </w:tcPr>
          <w:p w14:paraId="47567D2D" w14:textId="77777777" w:rsidR="00477200" w:rsidRDefault="00477200" w:rsidP="00477200">
            <w:pPr>
              <w:ind w:left="0"/>
            </w:pPr>
            <w:r w:rsidRPr="00477200">
              <w:rPr>
                <w:b/>
              </w:rPr>
              <w:t>Gulle</w:t>
            </w:r>
            <w:r w:rsidR="00DA385E">
              <w:rPr>
                <w:b/>
              </w:rPr>
              <w:t>s</w:t>
            </w:r>
            <w:r w:rsidRPr="00477200">
              <w:rPr>
                <w:b/>
              </w:rPr>
              <w:t>byns södra samfällighetsförening</w:t>
            </w:r>
            <w:r>
              <w:t xml:space="preserve"> i Arvika kommun, org</w:t>
            </w:r>
            <w:r w:rsidR="00E72D45">
              <w:t>.</w:t>
            </w:r>
            <w:r>
              <w:t xml:space="preserve"> nr </w:t>
            </w:r>
            <w:proofErr w:type="gramStart"/>
            <w:r w:rsidR="00E72D45">
              <w:t>716451-5343</w:t>
            </w:r>
            <w:proofErr w:type="gramEnd"/>
            <w:r>
              <w:t>. Gullesbyns södra samfällighetsförening förvaltar gemensamhetsanläggningen Gullesbyn ga:5.</w:t>
            </w:r>
          </w:p>
          <w:p w14:paraId="5C0CFD84" w14:textId="77777777" w:rsidR="00DA385E" w:rsidRDefault="00DA385E" w:rsidP="00477200">
            <w:pPr>
              <w:ind w:left="0"/>
            </w:pPr>
          </w:p>
        </w:tc>
      </w:tr>
      <w:tr w:rsidR="00477200" w14:paraId="774CC867" w14:textId="77777777" w:rsidTr="00DA385E">
        <w:tc>
          <w:tcPr>
            <w:tcW w:w="2694" w:type="dxa"/>
          </w:tcPr>
          <w:p w14:paraId="6D40A6EB" w14:textId="77777777" w:rsidR="00477200" w:rsidRDefault="00477200" w:rsidP="00477200">
            <w:pPr>
              <w:ind w:left="0"/>
            </w:pPr>
            <w:r>
              <w:t>Överlåtande föreningar</w:t>
            </w:r>
          </w:p>
        </w:tc>
        <w:tc>
          <w:tcPr>
            <w:tcW w:w="6946" w:type="dxa"/>
          </w:tcPr>
          <w:p w14:paraId="6450679A" w14:textId="77777777" w:rsidR="00477200" w:rsidRDefault="00477200" w:rsidP="00477200">
            <w:pPr>
              <w:ind w:left="0"/>
            </w:pPr>
            <w:r w:rsidRPr="00477200">
              <w:rPr>
                <w:b/>
              </w:rPr>
              <w:t>Flytmossens samfällighetsförening</w:t>
            </w:r>
            <w:r>
              <w:t xml:space="preserve"> i Arvika kommun, org</w:t>
            </w:r>
            <w:r w:rsidR="00E72D45">
              <w:t>.</w:t>
            </w:r>
            <w:r>
              <w:t xml:space="preserve"> nr </w:t>
            </w:r>
            <w:proofErr w:type="gramStart"/>
            <w:r w:rsidR="00E72D45">
              <w:t>716410-8297</w:t>
            </w:r>
            <w:proofErr w:type="gramEnd"/>
            <w:r w:rsidR="00E72D45">
              <w:t xml:space="preserve">. </w:t>
            </w:r>
            <w:r>
              <w:t>Flytmossens samfällighetsförening förvaltar gemensamhetsanläggningen Gullesbyn ga:2.</w:t>
            </w:r>
          </w:p>
          <w:p w14:paraId="7BA35DE0" w14:textId="4E47EF86" w:rsidR="00477200" w:rsidRDefault="00477200" w:rsidP="00477200">
            <w:pPr>
              <w:ind w:left="0"/>
            </w:pPr>
            <w:r>
              <w:rPr>
                <w:b/>
              </w:rPr>
              <w:t>Lillängens samfällighetsförening</w:t>
            </w:r>
            <w:r>
              <w:t xml:space="preserve"> i Arvika kommun, org.nr </w:t>
            </w:r>
            <w:r w:rsidR="00E72D45">
              <w:br/>
            </w:r>
            <w:proofErr w:type="gramStart"/>
            <w:r w:rsidR="00E72D45">
              <w:t>716410</w:t>
            </w:r>
            <w:proofErr w:type="gramEnd"/>
            <w:r w:rsidR="00E72D45">
              <w:softHyphen/>
              <w:t>8784</w:t>
            </w:r>
            <w:r>
              <w:t>. Lillängens samfällighetsförening förvaltar gemensamhetsanläggningen Gullesbyn ga:3.</w:t>
            </w:r>
          </w:p>
          <w:p w14:paraId="45555FE6" w14:textId="77777777" w:rsidR="00DA385E" w:rsidRDefault="00DA385E" w:rsidP="00477200">
            <w:pPr>
              <w:ind w:left="0"/>
            </w:pPr>
          </w:p>
        </w:tc>
      </w:tr>
      <w:tr w:rsidR="00477200" w14:paraId="5EA890E5" w14:textId="77777777" w:rsidTr="00DA385E">
        <w:tc>
          <w:tcPr>
            <w:tcW w:w="2694" w:type="dxa"/>
          </w:tcPr>
          <w:p w14:paraId="57B10D0E" w14:textId="77777777" w:rsidR="00477200" w:rsidRDefault="00477200" w:rsidP="00477200">
            <w:pPr>
              <w:ind w:left="0"/>
            </w:pPr>
            <w:r>
              <w:t>Överenskommelse</w:t>
            </w:r>
          </w:p>
        </w:tc>
        <w:tc>
          <w:tcPr>
            <w:tcW w:w="6946" w:type="dxa"/>
          </w:tcPr>
          <w:p w14:paraId="3E4EB2D2" w14:textId="77777777" w:rsidR="00477200" w:rsidRDefault="00477200" w:rsidP="00477200">
            <w:pPr>
              <w:ind w:left="0"/>
            </w:pPr>
            <w:r>
              <w:t>Flytmossens samfällighetsförening och Lillängens samfällighetsförening ska genom fusion överföras till Gullesbyns södra samfällighetsförening. Medlemmar i Flytmossens samfällighetsförening och Lillängens samfällighetsförening blir därmed medlemmar i Gullesbyns södra samfällighetsförening för att där ingå i den verksamhetsgren som omfattar gemensamhetsanläggningen Gullesbyn ga:2 respektive Gullesbyn ga:3.</w:t>
            </w:r>
          </w:p>
          <w:p w14:paraId="6C2EE8DF" w14:textId="77777777" w:rsidR="00DA385E" w:rsidRDefault="00DA385E" w:rsidP="00477200">
            <w:pPr>
              <w:ind w:left="0"/>
            </w:pPr>
          </w:p>
        </w:tc>
      </w:tr>
      <w:tr w:rsidR="00477200" w14:paraId="1A14C0CE" w14:textId="77777777" w:rsidTr="00DA385E">
        <w:tc>
          <w:tcPr>
            <w:tcW w:w="2694" w:type="dxa"/>
          </w:tcPr>
          <w:p w14:paraId="03CB91F6" w14:textId="77777777" w:rsidR="00477200" w:rsidRDefault="00E07567" w:rsidP="00477200">
            <w:pPr>
              <w:ind w:left="0"/>
            </w:pPr>
            <w:r>
              <w:t>Stadgeändring</w:t>
            </w:r>
          </w:p>
        </w:tc>
        <w:tc>
          <w:tcPr>
            <w:tcW w:w="6946" w:type="dxa"/>
          </w:tcPr>
          <w:p w14:paraId="33AB4C01" w14:textId="2F026A88" w:rsidR="00477200" w:rsidRDefault="00E07567" w:rsidP="00477200">
            <w:pPr>
              <w:ind w:left="0"/>
            </w:pPr>
            <w:r>
              <w:t xml:space="preserve">Stadgarna för Gullesbyn södra samfällighetsförening ska ändras så att utöver tidigare förvaltad gemensamhetsanläggning (Gullesbyn ga:5) ska även de tillkommande gemensamhetsanläggningarna (Gullesbyn ga:2 och Gullesbyn ga:3) förvaltas, Respektive </w:t>
            </w:r>
            <w:proofErr w:type="spellStart"/>
            <w:r w:rsidR="00EB0315">
              <w:t>gemensamhets-anläggning</w:t>
            </w:r>
            <w:proofErr w:type="spellEnd"/>
            <w:r>
              <w:t xml:space="preserve"> ska utgöra särskilda verksamhetsgrenar i Gullesbyns södra samfällighetsförening</w:t>
            </w:r>
          </w:p>
          <w:p w14:paraId="4D8FA0B3" w14:textId="77777777" w:rsidR="00DA385E" w:rsidRDefault="00DA385E" w:rsidP="00477200">
            <w:pPr>
              <w:ind w:left="0"/>
            </w:pPr>
          </w:p>
        </w:tc>
      </w:tr>
      <w:tr w:rsidR="00477200" w14:paraId="79556F88" w14:textId="77777777" w:rsidTr="00DA385E">
        <w:tc>
          <w:tcPr>
            <w:tcW w:w="2694" w:type="dxa"/>
          </w:tcPr>
          <w:p w14:paraId="29356725" w14:textId="77777777" w:rsidR="00477200" w:rsidRDefault="00E07567" w:rsidP="00477200">
            <w:pPr>
              <w:ind w:left="0"/>
            </w:pPr>
            <w:r>
              <w:t>Ekonomisk ersättning</w:t>
            </w:r>
          </w:p>
        </w:tc>
        <w:tc>
          <w:tcPr>
            <w:tcW w:w="6946" w:type="dxa"/>
          </w:tcPr>
          <w:p w14:paraId="00C2B4C9" w14:textId="77777777" w:rsidR="00477200" w:rsidRDefault="00E07567" w:rsidP="00477200">
            <w:pPr>
              <w:ind w:left="0"/>
            </w:pPr>
            <w:r>
              <w:t xml:space="preserve">Ingen ersättning ska utgå mellan verksamhetsgrenarna med anledning av detta avtal. </w:t>
            </w:r>
          </w:p>
          <w:p w14:paraId="489E3B4A" w14:textId="77777777" w:rsidR="00DA385E" w:rsidRDefault="00DA385E" w:rsidP="00477200">
            <w:pPr>
              <w:ind w:left="0"/>
            </w:pPr>
          </w:p>
        </w:tc>
      </w:tr>
      <w:tr w:rsidR="00E07567" w14:paraId="7FE52964" w14:textId="77777777" w:rsidTr="00DA385E">
        <w:tc>
          <w:tcPr>
            <w:tcW w:w="2694" w:type="dxa"/>
          </w:tcPr>
          <w:p w14:paraId="5DA49E0E" w14:textId="77777777" w:rsidR="00E07567" w:rsidRDefault="00E07567" w:rsidP="00477200">
            <w:pPr>
              <w:ind w:left="0"/>
            </w:pPr>
            <w:r>
              <w:t>Tillträde</w:t>
            </w:r>
          </w:p>
        </w:tc>
        <w:tc>
          <w:tcPr>
            <w:tcW w:w="6946" w:type="dxa"/>
          </w:tcPr>
          <w:p w14:paraId="0F505D6D" w14:textId="77777777" w:rsidR="00E07567" w:rsidRDefault="00E07567" w:rsidP="00477200">
            <w:pPr>
              <w:ind w:left="0"/>
            </w:pPr>
            <w:r>
              <w:t>Tillträde sker den dag då fusionen registreras i Samfällighetsföreningsregistret.</w:t>
            </w:r>
          </w:p>
          <w:p w14:paraId="191CC603" w14:textId="77777777" w:rsidR="00DA385E" w:rsidRDefault="00DA385E" w:rsidP="00477200">
            <w:pPr>
              <w:ind w:left="0"/>
            </w:pPr>
          </w:p>
        </w:tc>
      </w:tr>
      <w:tr w:rsidR="00E07567" w14:paraId="221A02CE" w14:textId="77777777" w:rsidTr="00DA385E">
        <w:tc>
          <w:tcPr>
            <w:tcW w:w="2694" w:type="dxa"/>
          </w:tcPr>
          <w:p w14:paraId="1571EC66" w14:textId="77777777" w:rsidR="00E07567" w:rsidRDefault="00E07567" w:rsidP="00477200">
            <w:pPr>
              <w:ind w:left="0"/>
            </w:pPr>
            <w:r>
              <w:lastRenderedPageBreak/>
              <w:t>Giltighet</w:t>
            </w:r>
          </w:p>
        </w:tc>
        <w:tc>
          <w:tcPr>
            <w:tcW w:w="6946" w:type="dxa"/>
          </w:tcPr>
          <w:p w14:paraId="4E86BD53" w14:textId="77777777" w:rsidR="00E07567" w:rsidRPr="00E07567" w:rsidRDefault="00E07567" w:rsidP="00477200">
            <w:pPr>
              <w:ind w:left="0"/>
            </w:pPr>
            <w:r>
              <w:t>Detta avtal gäller under förutsättning</w:t>
            </w:r>
            <w:r w:rsidR="00DA385E">
              <w:t xml:space="preserve"> </w:t>
            </w:r>
            <w:r w:rsidRPr="00E07567">
              <w:rPr>
                <w:b/>
              </w:rPr>
              <w:t>att</w:t>
            </w:r>
            <w:r>
              <w:t xml:space="preserve"> det godkänns av Gullesbyns södra, Flytmossens och Lillängens samfällighetsföreningar,</w:t>
            </w:r>
            <w:r w:rsidR="00DA385E">
              <w:t xml:space="preserve"> </w:t>
            </w:r>
            <w:r w:rsidRPr="00E07567">
              <w:rPr>
                <w:b/>
              </w:rPr>
              <w:t>att</w:t>
            </w:r>
            <w:r>
              <w:t xml:space="preserve"> stadgeändring beslutas enligt ovan i Gullesbyns södra samfällighetsförening samt</w:t>
            </w:r>
            <w:r w:rsidR="00DA385E">
              <w:t xml:space="preserve"> </w:t>
            </w:r>
            <w:r>
              <w:rPr>
                <w:b/>
              </w:rPr>
              <w:t>att</w:t>
            </w:r>
            <w:r>
              <w:t xml:space="preserve"> stadgeändring och detta fusionsavtal registreras i Samfällighetsföreningsregistret.</w:t>
            </w:r>
          </w:p>
        </w:tc>
      </w:tr>
    </w:tbl>
    <w:p w14:paraId="5AEA50A8" w14:textId="77777777" w:rsidR="00DA385E" w:rsidRDefault="00DA385E" w:rsidP="00DA385E">
      <w:pPr>
        <w:ind w:left="0"/>
      </w:pPr>
      <w:r>
        <w:br/>
      </w:r>
    </w:p>
    <w:p w14:paraId="6A25233B" w14:textId="2E7C2C69" w:rsidR="00477200" w:rsidRDefault="00DA385E" w:rsidP="00DA385E">
      <w:pPr>
        <w:ind w:left="0"/>
      </w:pPr>
      <w:r>
        <w:t xml:space="preserve">Brunskog den </w:t>
      </w:r>
      <w:r w:rsidR="008951D1">
        <w:t xml:space="preserve">     2019</w:t>
      </w:r>
    </w:p>
    <w:p w14:paraId="2DC58559" w14:textId="77777777" w:rsidR="00DA385E" w:rsidRDefault="00DA385E" w:rsidP="00DA385E">
      <w:pPr>
        <w:ind w:left="0"/>
      </w:pPr>
      <w:r>
        <w:t>För Gullesbyns södra samfällighetsförening</w:t>
      </w:r>
      <w:r>
        <w:tab/>
        <w:t>För Flytmossens samfällighetsförening</w:t>
      </w:r>
    </w:p>
    <w:p w14:paraId="0D9964ED" w14:textId="77777777" w:rsidR="00DA385E" w:rsidRDefault="00DA385E" w:rsidP="00DA385E">
      <w:pPr>
        <w:ind w:left="0"/>
      </w:pPr>
    </w:p>
    <w:p w14:paraId="50C19769" w14:textId="5FEA21B1" w:rsidR="00DA385E" w:rsidRDefault="00DA385E" w:rsidP="00DA385E">
      <w:pPr>
        <w:ind w:left="0"/>
      </w:pPr>
      <w:r>
        <w:br/>
      </w:r>
      <w:r w:rsidR="00EB0315">
        <w:t>Företrädare</w:t>
      </w:r>
      <w:r>
        <w:tab/>
      </w:r>
      <w:r>
        <w:tab/>
      </w:r>
      <w:r>
        <w:tab/>
      </w:r>
      <w:r w:rsidR="00EB0315">
        <w:tab/>
        <w:t>Företräd</w:t>
      </w:r>
      <w:bookmarkStart w:id="0" w:name="_GoBack"/>
      <w:bookmarkEnd w:id="0"/>
      <w:r w:rsidR="00EB0315">
        <w:t>are</w:t>
      </w:r>
    </w:p>
    <w:p w14:paraId="2DDA83A4" w14:textId="77777777" w:rsidR="00DA385E" w:rsidRDefault="00DA385E" w:rsidP="00DA385E">
      <w:pPr>
        <w:ind w:left="0"/>
      </w:pPr>
    </w:p>
    <w:p w14:paraId="32F90505" w14:textId="77777777" w:rsidR="00DA385E" w:rsidRDefault="00DA385E" w:rsidP="00DA385E">
      <w:pPr>
        <w:ind w:left="0"/>
      </w:pPr>
    </w:p>
    <w:p w14:paraId="16424D83" w14:textId="7CB8011C" w:rsidR="00DA385E" w:rsidRDefault="00DA385E" w:rsidP="00DA385E">
      <w:pPr>
        <w:ind w:left="0"/>
      </w:pPr>
      <w:r>
        <w:t>För Lillängenssamfällighetsförening</w:t>
      </w:r>
    </w:p>
    <w:p w14:paraId="08A45304" w14:textId="77777777" w:rsidR="00DA385E" w:rsidRDefault="00DA385E" w:rsidP="00DA385E">
      <w:pPr>
        <w:ind w:left="0"/>
      </w:pPr>
    </w:p>
    <w:p w14:paraId="23116B50" w14:textId="1888D779" w:rsidR="00DA385E" w:rsidRPr="00477200" w:rsidRDefault="00DA385E" w:rsidP="00DA385E">
      <w:pPr>
        <w:ind w:left="0"/>
      </w:pPr>
      <w:r>
        <w:br/>
      </w:r>
      <w:r w:rsidR="00EB0315">
        <w:t>Företrädare</w:t>
      </w:r>
    </w:p>
    <w:sectPr w:rsidR="00DA385E" w:rsidRPr="00477200" w:rsidSect="00E07567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F0542" w14:textId="77777777" w:rsidR="00BC3A34" w:rsidRDefault="00BC3A34" w:rsidP="00E07567">
      <w:pPr>
        <w:spacing w:after="0" w:line="240" w:lineRule="auto"/>
      </w:pPr>
      <w:r>
        <w:separator/>
      </w:r>
    </w:p>
  </w:endnote>
  <w:endnote w:type="continuationSeparator" w:id="0">
    <w:p w14:paraId="5E247F8C" w14:textId="77777777" w:rsidR="00BC3A34" w:rsidRDefault="00BC3A34" w:rsidP="00E0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00974" w14:textId="77777777" w:rsidR="00BC3A34" w:rsidRDefault="00BC3A34" w:rsidP="00E07567">
      <w:pPr>
        <w:spacing w:after="0" w:line="240" w:lineRule="auto"/>
      </w:pPr>
      <w:r>
        <w:separator/>
      </w:r>
    </w:p>
  </w:footnote>
  <w:footnote w:type="continuationSeparator" w:id="0">
    <w:p w14:paraId="46A479AA" w14:textId="77777777" w:rsidR="00BC3A34" w:rsidRDefault="00BC3A34" w:rsidP="00E0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FE585" w14:textId="77777777" w:rsidR="00E07567" w:rsidRDefault="00E07567">
    <w:pPr>
      <w:pStyle w:val="Sidhuvud"/>
    </w:pPr>
    <w:r>
      <w:tab/>
    </w:r>
    <w:r>
      <w:tab/>
    </w:r>
    <w:r w:rsidR="00D755E0">
      <w:fldChar w:fldCharType="begin"/>
    </w:r>
    <w:r w:rsidR="00D755E0">
      <w:instrText>PAGE   \* MERGEFORMAT</w:instrText>
    </w:r>
    <w:r w:rsidR="00D755E0">
      <w:fldChar w:fldCharType="separate"/>
    </w:r>
    <w:r w:rsidR="00D755E0">
      <w:t>1</w:t>
    </w:r>
    <w:r w:rsidR="00D755E0">
      <w:fldChar w:fldCharType="end"/>
    </w:r>
    <w:r w:rsidR="00D755E0">
      <w:t>(</w:t>
    </w:r>
    <w:r w:rsidR="00340947">
      <w:rPr>
        <w:noProof/>
      </w:rPr>
      <w:fldChar w:fldCharType="begin"/>
    </w:r>
    <w:r w:rsidR="00340947">
      <w:rPr>
        <w:noProof/>
      </w:rPr>
      <w:instrText xml:space="preserve"> NUMPAGES   \* MERGEFORMAT </w:instrText>
    </w:r>
    <w:r w:rsidR="00340947">
      <w:rPr>
        <w:noProof/>
      </w:rPr>
      <w:fldChar w:fldCharType="separate"/>
    </w:r>
    <w:r w:rsidR="00D755E0">
      <w:rPr>
        <w:noProof/>
      </w:rPr>
      <w:t>2</w:t>
    </w:r>
    <w:r w:rsidR="00340947">
      <w:rPr>
        <w:noProof/>
      </w:rPr>
      <w:fldChar w:fldCharType="end"/>
    </w:r>
    <w:r w:rsidR="00D755E0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0"/>
    <w:rsid w:val="000616C6"/>
    <w:rsid w:val="0006323D"/>
    <w:rsid w:val="00077CD7"/>
    <w:rsid w:val="00092FAA"/>
    <w:rsid w:val="00096AD1"/>
    <w:rsid w:val="000A6DEB"/>
    <w:rsid w:val="000D07CA"/>
    <w:rsid w:val="000E0560"/>
    <w:rsid w:val="000F30A4"/>
    <w:rsid w:val="00102430"/>
    <w:rsid w:val="00102BFF"/>
    <w:rsid w:val="00104887"/>
    <w:rsid w:val="001060CC"/>
    <w:rsid w:val="00106594"/>
    <w:rsid w:val="00106D8F"/>
    <w:rsid w:val="00121583"/>
    <w:rsid w:val="00157B65"/>
    <w:rsid w:val="00165DD7"/>
    <w:rsid w:val="00183BEC"/>
    <w:rsid w:val="00196E2E"/>
    <w:rsid w:val="001A18F6"/>
    <w:rsid w:val="001C494C"/>
    <w:rsid w:val="00200C26"/>
    <w:rsid w:val="00240777"/>
    <w:rsid w:val="00240DD3"/>
    <w:rsid w:val="00244D3B"/>
    <w:rsid w:val="00264614"/>
    <w:rsid w:val="002A2A85"/>
    <w:rsid w:val="002A69E6"/>
    <w:rsid w:val="002B7612"/>
    <w:rsid w:val="002C1161"/>
    <w:rsid w:val="002D1B5A"/>
    <w:rsid w:val="0030137C"/>
    <w:rsid w:val="00330791"/>
    <w:rsid w:val="00340947"/>
    <w:rsid w:val="00367D92"/>
    <w:rsid w:val="0037425E"/>
    <w:rsid w:val="003846A4"/>
    <w:rsid w:val="003919A8"/>
    <w:rsid w:val="00394FFF"/>
    <w:rsid w:val="003A635C"/>
    <w:rsid w:val="003C589C"/>
    <w:rsid w:val="003E23F5"/>
    <w:rsid w:val="003F1524"/>
    <w:rsid w:val="003F6A5C"/>
    <w:rsid w:val="0040351C"/>
    <w:rsid w:val="00406413"/>
    <w:rsid w:val="00417DB3"/>
    <w:rsid w:val="00417DF8"/>
    <w:rsid w:val="00432B00"/>
    <w:rsid w:val="00446D6A"/>
    <w:rsid w:val="00460CE5"/>
    <w:rsid w:val="00464C21"/>
    <w:rsid w:val="004674BB"/>
    <w:rsid w:val="00473B97"/>
    <w:rsid w:val="00477200"/>
    <w:rsid w:val="00477C9A"/>
    <w:rsid w:val="004975D8"/>
    <w:rsid w:val="004A32AE"/>
    <w:rsid w:val="004B15FA"/>
    <w:rsid w:val="004C0101"/>
    <w:rsid w:val="004C14C1"/>
    <w:rsid w:val="004C64D4"/>
    <w:rsid w:val="004E0EB6"/>
    <w:rsid w:val="004F0C72"/>
    <w:rsid w:val="00507676"/>
    <w:rsid w:val="005217F6"/>
    <w:rsid w:val="00536D60"/>
    <w:rsid w:val="005459FA"/>
    <w:rsid w:val="00556F50"/>
    <w:rsid w:val="00557813"/>
    <w:rsid w:val="00562E42"/>
    <w:rsid w:val="00570B98"/>
    <w:rsid w:val="00583E0B"/>
    <w:rsid w:val="00584F10"/>
    <w:rsid w:val="0059308D"/>
    <w:rsid w:val="005B0EC0"/>
    <w:rsid w:val="005B3BFE"/>
    <w:rsid w:val="005E21E7"/>
    <w:rsid w:val="005E3D48"/>
    <w:rsid w:val="00607CCC"/>
    <w:rsid w:val="00613278"/>
    <w:rsid w:val="00644DA1"/>
    <w:rsid w:val="00650342"/>
    <w:rsid w:val="0067411A"/>
    <w:rsid w:val="00676189"/>
    <w:rsid w:val="00695B97"/>
    <w:rsid w:val="00696113"/>
    <w:rsid w:val="006A1F24"/>
    <w:rsid w:val="006B2F95"/>
    <w:rsid w:val="006C6AF3"/>
    <w:rsid w:val="006F0C18"/>
    <w:rsid w:val="006F0EEB"/>
    <w:rsid w:val="007010AF"/>
    <w:rsid w:val="00704876"/>
    <w:rsid w:val="00737952"/>
    <w:rsid w:val="00741DB1"/>
    <w:rsid w:val="00755C69"/>
    <w:rsid w:val="0077070D"/>
    <w:rsid w:val="00774B36"/>
    <w:rsid w:val="00787D25"/>
    <w:rsid w:val="007B4059"/>
    <w:rsid w:val="007B53DC"/>
    <w:rsid w:val="007B5B64"/>
    <w:rsid w:val="007B7A09"/>
    <w:rsid w:val="007D3E88"/>
    <w:rsid w:val="0080783F"/>
    <w:rsid w:val="00813C09"/>
    <w:rsid w:val="0081504B"/>
    <w:rsid w:val="00823668"/>
    <w:rsid w:val="008244EB"/>
    <w:rsid w:val="00827A2E"/>
    <w:rsid w:val="00851A0A"/>
    <w:rsid w:val="008555C8"/>
    <w:rsid w:val="0086288A"/>
    <w:rsid w:val="00871312"/>
    <w:rsid w:val="00881794"/>
    <w:rsid w:val="00892114"/>
    <w:rsid w:val="008951D1"/>
    <w:rsid w:val="008C6358"/>
    <w:rsid w:val="008E1B9A"/>
    <w:rsid w:val="00904A7D"/>
    <w:rsid w:val="00923486"/>
    <w:rsid w:val="00926C45"/>
    <w:rsid w:val="009301FF"/>
    <w:rsid w:val="009429AD"/>
    <w:rsid w:val="00960A0C"/>
    <w:rsid w:val="0096165F"/>
    <w:rsid w:val="00974DA6"/>
    <w:rsid w:val="00974F43"/>
    <w:rsid w:val="009751A6"/>
    <w:rsid w:val="0098445F"/>
    <w:rsid w:val="00984F11"/>
    <w:rsid w:val="009854C3"/>
    <w:rsid w:val="009C1B21"/>
    <w:rsid w:val="009C34F5"/>
    <w:rsid w:val="009D725A"/>
    <w:rsid w:val="009E5895"/>
    <w:rsid w:val="009E6CA7"/>
    <w:rsid w:val="009F1147"/>
    <w:rsid w:val="009F5668"/>
    <w:rsid w:val="00A04C18"/>
    <w:rsid w:val="00A147DF"/>
    <w:rsid w:val="00A14FD0"/>
    <w:rsid w:val="00A155D8"/>
    <w:rsid w:val="00A15D12"/>
    <w:rsid w:val="00A31789"/>
    <w:rsid w:val="00A348B0"/>
    <w:rsid w:val="00A54307"/>
    <w:rsid w:val="00A63F07"/>
    <w:rsid w:val="00A6447B"/>
    <w:rsid w:val="00A662E9"/>
    <w:rsid w:val="00A741C5"/>
    <w:rsid w:val="00A810B9"/>
    <w:rsid w:val="00A82D31"/>
    <w:rsid w:val="00A84BF6"/>
    <w:rsid w:val="00AC3B62"/>
    <w:rsid w:val="00AC7230"/>
    <w:rsid w:val="00AD0E56"/>
    <w:rsid w:val="00AD3A4E"/>
    <w:rsid w:val="00AF7197"/>
    <w:rsid w:val="00B03351"/>
    <w:rsid w:val="00B2404D"/>
    <w:rsid w:val="00B25930"/>
    <w:rsid w:val="00B46B9B"/>
    <w:rsid w:val="00B742DD"/>
    <w:rsid w:val="00B83B56"/>
    <w:rsid w:val="00B86988"/>
    <w:rsid w:val="00B95EF4"/>
    <w:rsid w:val="00BA0C5B"/>
    <w:rsid w:val="00BA2E04"/>
    <w:rsid w:val="00BC3A34"/>
    <w:rsid w:val="00BE6FE0"/>
    <w:rsid w:val="00BF3D12"/>
    <w:rsid w:val="00C00623"/>
    <w:rsid w:val="00C21DEF"/>
    <w:rsid w:val="00C3290F"/>
    <w:rsid w:val="00C55200"/>
    <w:rsid w:val="00C84F1B"/>
    <w:rsid w:val="00C84F29"/>
    <w:rsid w:val="00CA50E6"/>
    <w:rsid w:val="00CC38B8"/>
    <w:rsid w:val="00CD1E1B"/>
    <w:rsid w:val="00CF720A"/>
    <w:rsid w:val="00CF76D6"/>
    <w:rsid w:val="00D01263"/>
    <w:rsid w:val="00D16D95"/>
    <w:rsid w:val="00D2632B"/>
    <w:rsid w:val="00D403B1"/>
    <w:rsid w:val="00D43F7F"/>
    <w:rsid w:val="00D5481C"/>
    <w:rsid w:val="00D60A41"/>
    <w:rsid w:val="00D755E0"/>
    <w:rsid w:val="00D82EEA"/>
    <w:rsid w:val="00DA385E"/>
    <w:rsid w:val="00DB0C5D"/>
    <w:rsid w:val="00DC7370"/>
    <w:rsid w:val="00DD2E1F"/>
    <w:rsid w:val="00DE0BE7"/>
    <w:rsid w:val="00DE1314"/>
    <w:rsid w:val="00DE14BC"/>
    <w:rsid w:val="00E05B19"/>
    <w:rsid w:val="00E07567"/>
    <w:rsid w:val="00E11396"/>
    <w:rsid w:val="00E35DAC"/>
    <w:rsid w:val="00E470AE"/>
    <w:rsid w:val="00E537BC"/>
    <w:rsid w:val="00E57714"/>
    <w:rsid w:val="00E60602"/>
    <w:rsid w:val="00E72D45"/>
    <w:rsid w:val="00E81C6A"/>
    <w:rsid w:val="00E91678"/>
    <w:rsid w:val="00E93A0D"/>
    <w:rsid w:val="00EA0159"/>
    <w:rsid w:val="00EB0315"/>
    <w:rsid w:val="00EC771F"/>
    <w:rsid w:val="00EE13A7"/>
    <w:rsid w:val="00EF190A"/>
    <w:rsid w:val="00F07D0D"/>
    <w:rsid w:val="00F14300"/>
    <w:rsid w:val="00F277CE"/>
    <w:rsid w:val="00F37277"/>
    <w:rsid w:val="00F40529"/>
    <w:rsid w:val="00F51938"/>
    <w:rsid w:val="00F747FC"/>
    <w:rsid w:val="00F8162C"/>
    <w:rsid w:val="00F83C30"/>
    <w:rsid w:val="00F92718"/>
    <w:rsid w:val="00FB204D"/>
    <w:rsid w:val="00FB7AB2"/>
    <w:rsid w:val="00FC3818"/>
    <w:rsid w:val="00FE1BDF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4CB7E"/>
  <w15:chartTrackingRefBased/>
  <w15:docId w15:val="{A49DD09D-FC68-4429-B149-84E913BE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1147"/>
    <w:pPr>
      <w:spacing w:after="200" w:line="300" w:lineRule="exact"/>
      <w:ind w:left="2552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F1147"/>
    <w:pPr>
      <w:keepNext/>
      <w:spacing w:after="400" w:line="320" w:lineRule="exact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1147"/>
    <w:pPr>
      <w:keepNext/>
      <w:spacing w:before="300" w:after="12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1147"/>
    <w:rPr>
      <w:rFonts w:ascii="Arial" w:eastAsiaTheme="majorEastAsia" w:hAnsi="Arial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1147"/>
    <w:rPr>
      <w:rFonts w:ascii="Arial" w:eastAsiaTheme="majorEastAsia" w:hAnsi="Arial" w:cstheme="majorBidi"/>
      <w:b/>
      <w:sz w:val="24"/>
      <w:szCs w:val="26"/>
    </w:rPr>
  </w:style>
  <w:style w:type="paragraph" w:styleId="Rubrik">
    <w:name w:val="Title"/>
    <w:aliases w:val="Rubrik 31"/>
    <w:basedOn w:val="Normal"/>
    <w:next w:val="Normal"/>
    <w:link w:val="RubrikChar"/>
    <w:uiPriority w:val="10"/>
    <w:qFormat/>
    <w:rsid w:val="009F1147"/>
    <w:pPr>
      <w:keepNext/>
      <w:spacing w:before="260" w:after="120" w:line="240" w:lineRule="exact"/>
    </w:pPr>
    <w:rPr>
      <w:rFonts w:ascii="Arial" w:eastAsiaTheme="majorEastAsia" w:hAnsi="Arial" w:cstheme="majorBidi"/>
      <w:i/>
      <w:spacing w:val="-10"/>
      <w:kern w:val="28"/>
      <w:szCs w:val="56"/>
    </w:rPr>
  </w:style>
  <w:style w:type="character" w:customStyle="1" w:styleId="RubrikChar">
    <w:name w:val="Rubrik Char"/>
    <w:aliases w:val="Rubrik 31 Char"/>
    <w:basedOn w:val="Standardstycketeckensnitt"/>
    <w:link w:val="Rubrik"/>
    <w:uiPriority w:val="10"/>
    <w:rsid w:val="009F1147"/>
    <w:rPr>
      <w:rFonts w:ascii="Arial" w:eastAsiaTheme="majorEastAsia" w:hAnsi="Arial" w:cstheme="majorBidi"/>
      <w:i/>
      <w:spacing w:val="-10"/>
      <w:kern w:val="28"/>
      <w:sz w:val="24"/>
      <w:szCs w:val="56"/>
    </w:rPr>
  </w:style>
  <w:style w:type="paragraph" w:styleId="Underrubrik">
    <w:name w:val="Subtitle"/>
    <w:aliases w:val="Rubrik 41"/>
    <w:basedOn w:val="Normal"/>
    <w:next w:val="Normal"/>
    <w:link w:val="UnderrubrikChar"/>
    <w:uiPriority w:val="11"/>
    <w:qFormat/>
    <w:rsid w:val="009F1147"/>
    <w:pPr>
      <w:keepNext/>
      <w:numPr>
        <w:ilvl w:val="1"/>
      </w:numPr>
      <w:spacing w:after="160"/>
      <w:ind w:left="2552"/>
    </w:pPr>
    <w:rPr>
      <w:rFonts w:ascii="Arial" w:eastAsiaTheme="minorEastAsia" w:hAnsi="Arial"/>
      <w:spacing w:val="15"/>
    </w:rPr>
  </w:style>
  <w:style w:type="character" w:customStyle="1" w:styleId="UnderrubrikChar">
    <w:name w:val="Underrubrik Char"/>
    <w:aliases w:val="Rubrik 41 Char"/>
    <w:basedOn w:val="Standardstycketeckensnitt"/>
    <w:link w:val="Underrubrik"/>
    <w:uiPriority w:val="11"/>
    <w:rsid w:val="009F1147"/>
    <w:rPr>
      <w:rFonts w:ascii="Arial" w:eastAsiaTheme="minorEastAsia" w:hAnsi="Arial"/>
      <w:spacing w:val="15"/>
      <w:sz w:val="24"/>
    </w:rPr>
  </w:style>
  <w:style w:type="table" w:styleId="Tabellrutnt">
    <w:name w:val="Table Grid"/>
    <w:basedOn w:val="Normaltabell"/>
    <w:uiPriority w:val="39"/>
    <w:rsid w:val="0047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075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7567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E075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75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Avtal om fusion mellan samfällighetsföreningar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Lindahl</dc:creator>
  <cp:keywords/>
  <dc:description/>
  <cp:lastModifiedBy>Mats Lindahl</cp:lastModifiedBy>
  <cp:revision>2</cp:revision>
  <dcterms:created xsi:type="dcterms:W3CDTF">2019-09-16T08:30:00Z</dcterms:created>
  <dcterms:modified xsi:type="dcterms:W3CDTF">2019-09-16T08:30:00Z</dcterms:modified>
</cp:coreProperties>
</file>